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328</w:t>
      </w:r>
    </w:p>
    <w:p>
      <w:r>
        <w:t>Bundesgericht (BGE), 2021-06-07, DE</w:t>
      </w:r>
    </w:p>
    <w:p>
      <w:r>
        <w:rPr>
          <w:b/>
        </w:rPr>
        <w:t xml:space="preserve">Quelle: </w:t>
      </w:r>
      <w:r>
        <w:t>https://mcp.opencaselaw.ch/entscheid/bge_147 V 328</w:t>
      </w:r>
    </w:p>
    <w:p>
      <w:r>
        <w:t>FR: ATF 147 V 328</w:t>
      </w:r>
    </w:p>
    <w:p>
      <w:r>
        <w:t>IT: DTF 147 V 328</w:t>
      </w:r>
    </w:p>
    <w:p>
      <w:pPr>
        <w:pStyle w:val="Heading2"/>
      </w:pPr>
      <w:r>
        <w:t>Regeste</w:t>
      </w:r>
    </w:p>
    <w:p>
      <w:r>
        <w:t>Regeste Art. 32 Abs. 1 und Art. 96 KVG; Art. 65b Abs. 6 und Art. 65d KVV; Art. 34f KLV; Wirtschaftlichkeitsbeurteilung eines patentgeschützten Medikaments im Rahmen des therapeutischen Quervergleichs (TQV). Bei der Beurteilung der Wirtschaftlichkeit eines Originalpräparats werden die Kosten für Forschung und Entwicklung berücksichtigt, es sei denn, es handelt sich beim Originalpräparat um ein Nachfolgepräparat, das gegenüber dem bisher in der Spezialitätenliste (SL) aufgeführten Originalpräparat keinen therapeutischen Fortschritt bringt (Art. 65b Abs. 6 KVV). Diese Bestimmung findet nicht nur bei der Aufnahme eines Medikaments in die SL, sondern auch bei der dreijährlichen Überprüfung der Aufnahmebedingungen gemäss Art. 65d KVV Anwendung (E. 4). Definition des Begriffs "Nachfolgepräparat" gemäss Art. 65b Abs. 6 KVV (E. 6.1-6.3.2). Die Einstufung der Vorinstanz, beim konkret zu prüfenden - patentgeschützten - Medikament handle es sich um ein Nachfolgepräparat in diesem Sinne, verletzt kein Bundesrecht (E. 6.4-6.4.2). Definition des Begriffs "therapeutischer Fortschritt" gemäss Art. 65b Abs. 6 KVV (E. 7 und 7.1). Das fragliche Arzneimittel weist im Vergleich zu dem in der SL gelisteten Originalpräparat keinen entsprechenden therapeutischen Fortschritt respektive Mehrwert auf, weshalb es nicht zu beanstanden ist, dass es anlässlich des TQV nicht (mehr) patentgeschützten Medikamenten gegenübergestellt wurde (E. 7.2-7.5).</w:t>
      </w:r>
    </w:p>
    <w:p>
      <w:pPr>
        <w:pStyle w:val="Heading2"/>
      </w:pPr>
      <w:r>
        <w:t>Erwägungen</w:t>
      </w:r>
    </w:p>
    <w:p>
      <w:r>
        <w:rPr>
          <w:b/>
        </w:rPr>
        <w:t>E. 4</w:t>
      </w:r>
    </w:p>
    <w:p>
      <w:r>
        <w:t>Zu prüfen ist zunächst in grundsätzlicher Hinsicht, ob, wie vorinstanzlich bejaht, Art. 65b Abs. 6 KVV (SR 832.102) - Beurteilung der Wirtschaftlichkeit eines Originalpräparats bei der Aufnahme in die SL - auch anlässlich des dreijährlichen Überprüfungsverfahrens nach Art. 65d KVV und Art. 34f KLV (SR 832.112.31) Anwendung findet.</w:t>
      </w:r>
    </w:p>
    <w:p>
      <w:r>
        <w:rPr>
          <w:b/>
        </w:rPr>
        <w:t>E. 4.1</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143 V 139 E. 6.1; BGE 142 V 488 E. 6.2 mit Hinweis auf BGE 140 V 538 E. 4.3). BGE 147 V 328 S. 332</w:t>
      </w:r>
    </w:p>
    <w:p>
      <w:r>
        <w:rPr>
          <w:b/>
        </w:rPr>
        <w:t>E. 4.2</w:t>
      </w:r>
    </w:p>
    <w:p>
      <w:r>
        <w:t>Bei dem vom Bundesrat gestützt auf Art. 96 KVG erlassenen Art. 65b KVV "Beurteilung der Wirtschaftlichkeit", welcher eine unmittelbare Umsetzung des in Art. 32 Abs. 1 KVG verankerten Wirtschaftlichkeitsgebots darstellt (vgl. nicht publ. E. 2.2 und 2.2.1), handelt es sich um eine unselbstständige Verordnungsnorm im Sinne einer Vollziehungsverordnungsbestimmung. Damit sind dem Bundesrat durch das Legalitäts- und Gewaltenteilungsprinzip in vierfacher Hinsicht Schranken gesetzt. Die Vollziehungsverordnung muss sich auf eine Materie beziehen, die Gegenstand des zu vollziehenden Gesetzes bildet (1.), darf dieses weder aufheben noch abändern (2.), muss der Zielsetzung des Gesetzes folgen und dabei lediglich die Regelung, die in grundsätzlicher Weise bereits im Gesetz Gestalt angenommen hat, aus- und weiterführen, also ergänzen und spezifizieren (3.), und darf den Bürgern keine neuen, nicht schon aus dem Gesetz folgende Pflichten auferlegen (4.), und zwar selbst dann nicht, wenn diese Ergänzungen mit dem Zweck des Gesetzes in Einklang stehen ( BGE 142 V 26 E. 5.1 mit Hinweisen; Urteil 2C_60/2018 vom 31. Mai 2019 E. 6.5).</w:t>
      </w:r>
    </w:p>
    <w:p>
      <w:r>
        <w:rPr>
          <w:b/>
        </w:rPr>
        <w:t>E. 4.2.1</w:t>
      </w:r>
    </w:p>
    <w:p>
      <w:r>
        <w:t>Dass sich Art. 65b Abs. 6 KVV für die Aufnahme eines Arzneimittels in die SL innerhalb dieser Schranken bewegt, wird von keiner Seite bestritten. Gemäss Art. 32 Abs. 2 KVG werden die Wirksamkeit, die Zweckmässigkeit und die Wirtschaftlichkeit der Leistungen periodisch überprüft. Dabei ist zu beachten, dass es explizit der Zielsetzung von Art. 32 Abs. 2 KVG entspricht, sicherzustellen, dass die in der SL gelisteten Arzneimittel - als Voraussetzung für die Kostenübernahme durch die obligatorische Krankenpflegeversicherung (OKP) - die Kriterien von Art. 32 Abs. 1 KVG (Wirksamkeit, Zweckmässigkeit und Wirtschaftlichkeit der Leistungen) jederzeit erfüllen (vgl. BGE 142 V 26 E. 5.4). Gemäss Sachüberschrift von Art. 65d KVV sowie Abs. 1 dieser Bestimmung ist bei der dreijährlichen Überprüfung denn auch zu kontrollieren, ob das betroffene Arzneimittel die Aufnahmebedingungen noch erfüllt. Letztere werden in Art. 65 KVV umschrieben, gemäss dessen Abs. 3 ein Arzneimittel unter anderem wirtschaftlich sein muss. Anhand welcher Massstäbe die Wirtschaftlichkeit zu beurteilen ist, regelt Art. 65b KVV ("Beurteilung der Wirtschaftlichkeit"). Abs. 2 dieser Bestimmung nennt als Elemente der Wirtschaftlichkeitsbeurteilung den Auslandpreisvergleich (APV) und den TQV. Weiter legt Abs. 6 von Art. 65b KVV fest, dass die Kosten für Forschung und Entwicklung bei Originalpräparaten stets, bei Nachfolgepräparaten indessen BGE 147 V 328 S. 333 lediglich bei Vorliegen eines therapeutischen Fortschritts gegenüber dem in der SL aufgeführten Originalpräparat berücksichtigt werden. Dass anlässlich der dreijährlichen Überprüfung der Aufnahmebedingungen diesbezüglich abweichend zu verfahren wäre, sieht Art. 65d KVV nicht vor (anders etwa Art. 65e Abs. 3 KVV , wonach im Rahmen der Überprüfung der Aufnahmebedingungen von Originalpräparaten nach Patentablauf bei der Wirtschaftlichkeitsbeurteilung die Kosten für Forschung und Entwicklung nicht mehr berücksichtigt werden). Mangels einer speziellen Regelung und auf Grund der Wortlaute von Art. 65d KVV und Art. 65b Abs. 6 KVV , die keine entsprechenden Einschränkungen enthalten, ist hier die Wirtschaftlichkeit folglich nach Massgabe der in Art. 65b KVV definierten Kriterien zu beurteilen. Die Kosten für Forschung und Entwicklung sind mithin auch im Rahmen der dreijährlichen Überprüfung der Aufnahmebedingungen gemäss Art. 65d KVV nur beachtlich, wenn es sich beim zu überprüfenden Arzneimittel um ein Originalpräparat respektive um ein Nachfolgepräparat mit therapeutischem Fortschritt gegenüber dem Originalpräparat im Sinne von Art. 65b Abs. 6 KVV handelt.</w:t>
      </w:r>
    </w:p>
    <w:p>
      <w:r>
        <w:rPr>
          <w:b/>
        </w:rPr>
        <w:t>E. 4.2.2</w:t>
      </w:r>
    </w:p>
    <w:p>
      <w:r>
        <w:t>Dieser Schluss wird zusätzlich untermauert durch Sinn und Zweck von Art. 65b Abs. 6 zweiter Satzteil KVV, wodurch verhindert werden soll, dass die Therapiekosten durch neue, nur leicht modifizierte Originalpräparate, deren Wirksamkeit sich nur wenig vom Vorgängerpräparat unterscheidet (sogenannte Scheininnovation; nicht publ. E. 2.2.3), weiterhin auf hohem Preisniveau gehalten werden (vgl. "Änderungen und Kommentar im Wortlaut" der KVV und KLV des BAG zu den per 1. Juni 2015 vorgesehenen Änderungen, S. 7 Ziff. 4 [nachfolgend: Kommentar BAG 1. Juni 2015], abrufbar unter www.bag.admin.ch [dazu im Detail nicht publ. E. 2.2.3]). Inwiefern die Anwendung der Bestimmung (auch) bei der dreijährlichen Überprüfung der Zielsetzung von Art. 32 Abs. 2 KVG zuwiderlaufen respektive dazu führen sollte, dass der gesetzlichen Regelung nicht gehörig nachgelebt würde, ist nicht erkennbar. Im Gegenteil gebieten es gerade das in Art. 43 Abs. 6 KVG statuierte Sparsamkeitsgebot sowie die mit der periodischen Überprüfung gemäss Art. 32 Abs. 2 KVG angestrebte Stossrichtung, nämlich die Sicherstellung, dass die Arzneimittel der SL die WZW-Kriterien von Art. 32 Abs. 1 KVG jederzeit erfüllen ( BGE 143 V 369 E. 5.3.2; BGE 142 V 26 E. 5.4), ein infolge von Scheininnovationen unwirtschaftliches Preisniveau möglichst rasch zu senken. BGE 147 V 328 S. 334</w:t>
      </w:r>
    </w:p>
    <w:p>
      <w:r>
        <w:rPr>
          <w:b/>
        </w:rPr>
        <w:t>E. 4.3</w:t>
      </w:r>
    </w:p>
    <w:p>
      <w:r>
        <w:t>Insgesamt ist daher - mit der Vorinstanz (in diesem Sinne bereits Urteil des Bundesverwaltungsgerichts C-6093/2018 vom 17. März 2020 E. 6) - davon auszugehen, dass Art. 65b Abs. 6 KVV im Rahmen der dreijährlichen Überprüfung der Aufnahmebedingungen gemäss Art. 65d KVV anzuwenden ist. Damit besteht vorliegend eine genügende gesetzliche Grundlage dafür, die Berücksichtigung des Patentschutzes bzw. die Kosten für Forschung und Entwicklung beim TQV eines Nachfolgepräparats vom Vorliegen eines therapeutischen Fortschritts abhängig zu machen. Dem opponiert die Beschwerdeführerin vor dem Bundesgericht denn auch nicht länger.</w:t>
      </w:r>
    </w:p>
    <w:p>
      <w:r>
        <w:rPr>
          <w:b/>
        </w:rPr>
        <w:t>E. 5</w:t>
      </w:r>
    </w:p>
    <w:p>
      <w:r>
        <w:t>Weiter nachzugehen ist der Frage, ob das Bundesverwaltungsgericht und das BAG B. bundesrechtskonform als Nachfolgepräparat ohne therapeutischen Fortschritt im Sinne von Art. 65b Abs. 6 Teilsatz 2 KVV eingestuft und dessen TQV folglich nur mit nicht patentgeschützten Vergleichsarzneimitteln durchgeführt haben.</w:t>
      </w:r>
    </w:p>
    <w:p>
      <w:r>
        <w:rPr>
          <w:b/>
        </w:rPr>
        <w:t>E. 6.1</w:t>
      </w:r>
    </w:p>
    <w:p>
      <w:r>
        <w:t>Die Vorinstanz ist - in Bestätigung der Betrachtungsweise des Beschwerdegegners - zur Auffassung gelangt, dass B., welches sich seit (...) auf der SL befinde, ein Nachfolgepräparat darstelle. Bereits bei dessen Aufnahme in die SL habe es andere Arzneimittel mit demselben Wirkstoff (C.) und Indikationsbereich gegeben, weshalb bei der Wirtschaftlichkeitsbeurteilung Art. 65b Abs. 6 Teilsatz 2 KVV zu berücksichtigen sei. Dem wird in der Beschwerde entgegengehalten, der Schluss des Bundesverwaltungsgerichts, B. sei als Nachfolgepräparat einzustufen, erweise sich als nicht sachgerecht und stelle eine offensichtlich unrichtige Feststellung des Sachverhalts dar.</w:t>
      </w:r>
    </w:p>
    <w:p>
      <w:r>
        <w:rPr>
          <w:b/>
        </w:rPr>
        <w:t>E. 6.2</w:t>
      </w:r>
    </w:p>
    <w:p>
      <w:r>
        <w:t>Der Begriff "Nachfolgepräparat", wie er in Art. 65b Abs. 6 KVV enthalten ist, wird weder im KVG noch in der KVV oder KLV näher erläutert (im Gegensatz zum Originalpräparat: "Als Originalpräparat gilt ein vom Schweizerischen Heilmittelinstitut Swissmedic [Institut] als erstes mit einem bestimmten Wirkstoff zugelassenes Arzneimittel, einschliesslich aller zum gleichen Zeitpunkt oder später zugelassenen Darreichungsformen" [ Art. 64a Abs. 1 KVV ]). Einer genauen, nach Auffassung der Beschwerdeführerin durch Auslegung zu ermittelnden Definition bedarf es vorliegend aus nachfolgenden Überlegungen jedoch nicht.</w:t>
      </w:r>
    </w:p>
    <w:p>
      <w:r>
        <w:rPr>
          <w:b/>
        </w:rPr>
        <w:t>E. 6.3.1</w:t>
      </w:r>
    </w:p>
    <w:p>
      <w:r>
        <w:t>Auf Grund der Angaben in den einschlägigen Fachinformationen besteht eine Identität bezüglich Wirkstoff und Indikation von BGE 147 V 328 S. 335 B. und E. Das erstzugelassene Arzneimittel mit dem Wirkstoff C. war E.; es wurde in Tablettenform (10 mg) am (...) in die SL aufgenommen. Mit J. und D. erfolgten per (...) respektive (...) die Aufnahmen von neuen galenischen Formen des Originalpräparats (Retardtabletten à 20 mg respektive langwirksame Kapsel mit veränderter Wirkstofffreigabe). Laut - unbestrittener - Auskunft des Beschwerdegegners wurde D. im Vergleich zu E. und K. als Innovation beurteilt, da der Wirkstoff in zwei Peaks freigesetzt wird, und ist immer noch patentgeschützt. B. figuriert seit (...) in Tabletten- und Kapselform auf der SL. D. wie auch B. dienen der Behandlung von (...). Beide Arzneimittel sind ferner für die orale einmal tägliche Verabreichung am Morgen vorgesehen und je als Kapseln zu 10 mg, 20 mg, 30 mg und 40 mg verfügbar. B. ist zusätzlich als Kapsel zu 5 mg erhältlich. Die maximale Dosis beträgt bei beiden Präparaten 60 mg pro Tag.</w:t>
      </w:r>
    </w:p>
    <w:p>
      <w:r>
        <w:rPr>
          <w:b/>
        </w:rPr>
        <w:t>E. 6.3.2</w:t>
      </w:r>
    </w:p>
    <w:p>
      <w:r>
        <w:t>B. wurde sodann im Rahmen eines vereinfachten Zulassungsverfahrens als Arzneimittel mit bekannten Wirkstoffen (BWS; Art. 14 Abs. 1 lit. a des Bundesgesetzes vom 15. Dezember 2000 über Arzneimittel und Medizinprodukte [Heilmittelgesetz, HMG; SR 812.21] in Verbindung mit Art. 12 Abs. 1 der Verordnung vom 22. Juni 2006 des Schweizerischen Heilmittelinstituts über die vereinfachte Zulassung von Arzneimitteln und die Zulassung von Arzneimitteln im Meldeverfahren [VAZV; SR 812.212.23]) deklariert. Als BWS gelten Arzneimittel, die einen Wirkstoff enthalten, der bereits in einem anderen von Swissmedic zugelassenen Arzneimittel enthalten ist oder war ( Art. 12 Abs. 1 VAZV ; vgl. auch Ziff. A.2 des vom BAG herausgegebenen Handbuchs betreffend die SL, Stand 2017 [nachfolgend: SL-Handbuch], abrufbar unter www.bag.admin.ch ). Es wird unterschieden zwischen "BWS ohne Innovation" und "BWS mit Innovation", wobei die Beschwerdeführerin geltend macht, B. sei im Rahmen des Zulassungsverfahrens als Letzteres klassifiziert worden. Damit wird ein Arzneimittel mit beispielsweise einer neuen Indikation, Darreichungsform, Verabreichungsweg, Dosisstärke und/oder Dosierungsempfehlung bezeichnet, wofür die entsprechenden Vorgaben der von Swissmedic herausgegebenen Wegleitungen "Zulassung Humanarzneimittel mit neuer aktiver Substanz HMV4" und "Änderungen und Zulassungserweiterungen HMV4" eingehalten werden müssen (vgl. Wegleitung "Zulassung Humanarzneimittel mit bekanntem Wirkstoff HMV4" von Swissmedic, S. 3 [Stand 1. März 2021]). Ein "BWS ohne Innovation" stellt demgegenüber ein Arzneimittel dar, das sich hinsichtlich Indikation, Darreichungsform, BGE 147 V 328 S. 336 Dosisstärke, Verabreichungsweg und Dosierungsempfehlung sowie bezüglich Qualität, Wirksamkeit und Sicherheit auf ein bereits von Swissmedic zugelassenes Referenzarzneimittel mit gleichem Wirkstoff abstützt. Einig sind sich die Verfahrensbeteiligten dahingehend, dass B. nicht zu den Generika zu zählen ist, die eine Untergruppe der BWS bilden (Ziff. A.2 SL-Handbuch). Als solches wird ein von Swissmedic zugelassenes Arzneimittel bezeichnet, das im Wesentlichen gleich wie ein Originalpräparat und mit diesem auf Grund identischer Wirkstoffe sowie seiner Darreichungsform und Dosierung austauschbar ist ( Art. 64a Abs. 2 KVV ).</w:t>
      </w:r>
    </w:p>
    <w:p>
      <w:r>
        <w:rPr>
          <w:b/>
        </w:rPr>
        <w:t>E. 6.4</w:t>
      </w:r>
    </w:p>
    <w:p>
      <w:r>
        <w:t>Vor diesem Hintergrund ist nicht erkennbar, inwiefern die vorinstanzliche Schlussfolgerung, E. bzw. D. sei als Originalpräparat im Sinne von Art. 64a Abs. 1 KVV und B. als Nachfolgepräparat gemäss Art. 65b Abs. 6 KVV zu qualifizieren, Bundesrecht verletzen sollte.</w:t>
      </w:r>
    </w:p>
    <w:p>
      <w:r>
        <w:rPr>
          <w:b/>
        </w:rPr>
        <w:t>E. 6.4.1</w:t>
      </w:r>
    </w:p>
    <w:p>
      <w:r>
        <w:t>Namentlich führt der Einwand der Beschwerdeführerin, die Entwicklungsprozesse beider Medikamente seien unabhängig voneinander vorangetrieben worden und weitgehend parallel verlaufen, wobei B. in Europa, so etwa in Deutschland, sogar früher eine Marktzulassung erhalten habe als D., zu keinem anderen Ergebnis. Wie aus dem Wortlaut von Art. 65b Abs. 6 Teilsatz 2 KVV hervorgeht ("... es sei denn, es handelt sich beim Originalpräparat um ein Nachfolgepräparat, das gegenüber dem bisher in der Spezialitäten liste aufgeführten Originalpräparat ..." [Hervorhebung durch das Bundesgericht]), definiert sich das Nachfolgepräparat im Kontext der SL-Wirtschaftlichkeitsbeurteilung respektive -Preisfestsetzung mittels TQV unmissverständlich als zeitlich nach dem Originalpräparat in die SL aufgenommenes Produkt. Dem Zeitpunkt der (heilmittelrechtlichen) Zulassung des fraglichen Medikaments auf einem Markt ausserhalb der Schweiz kann in diesem Zusammenhang keine entscheidwesentliche Bedeutung beigemessen werden.</w:t>
      </w:r>
    </w:p>
    <w:p>
      <w:r>
        <w:rPr>
          <w:b/>
        </w:rPr>
        <w:t>E. 6.4.2</w:t>
      </w:r>
    </w:p>
    <w:p>
      <w:r>
        <w:t>Ebenso wenig verfängt das Argument der Beschwerdeführerin, der Umstand, dass es sich bei B. um ein "BWS mit Innovation" handle, spreche gegen die Qualifizierung als Nachfolgepräparat. Zum einen wird die diesbezügliche, angeblich anlässlich des Zulassungsverfahrens erfolgte Einstufung lediglich behauptet, ohne dass entsprechende Belege vorgelegt würden. So enthält denn etwa auch die SL-Aufnahmeverfügung des BAG vom (...), wonach die Preisfestsetzung von B. "auf Grund des Preisvergleichs mit D. wegen des BGE 147 V 328 S. 337 ähnlichen Wirkungsprofils" und "ohne Innovationszuschlag" vorgenommen wurde, keinen derartigen Hinweis. Selbst wenn im Übrigen von einem Medikament mit dem Prädikat "BWS mit Innovation" auszugehen wäre, schlösse dies die Einordnung als Nachfolgepräparat im Sinne von Art. 65b Abs. 6 KVV nicht per se aus. Denn auch diesfalls ginge es um ein Arzneimittel mit einem Wirkstoff, der bereits in einem anderen von Swissmedic zugelassenen Arzneimittel enthalten ist oder war (vgl. E. 6.3.2 hiervor).</w:t>
      </w:r>
    </w:p>
    <w:p>
      <w:r>
        <w:rPr>
          <w:b/>
        </w:rPr>
        <w:t>E. 6.4.3</w:t>
      </w:r>
    </w:p>
    <w:p>
      <w:r>
        <w:t>Schliesslich vermag auch der in der Beschwerde angeführte Aufwand für Forschung und Entwicklung die Frage, ob ein Arzneimittel als Nachfolgepräparat gemäss Art. 65b Abs. 6 KVV angesehen wird, nicht zu beeinflussen. Vielmehr ist der Patentschutz eines Medikaments respektive dessen Kosten für Forschung und Entwicklung bei der Preisbestimmung nur zu berücksichtigen (mit der Folge, dass der TQV mit patentgeschützten Referenzarzneimitteln durchzuführen wäre), wenn - so Art. 65b Abs. 6 Teilsatz 2 KVV - das Nachfolgepräparat einen therapeutischen Fortschritt gegenüber dem Vorgängerprodukt aufweist. Die Bestimmung bezweckt, dass keine Vergütung zulasten der OKP für einen Innovationsaufwand erfolgt, der in Tat und Wahrheit nicht Ergebnis von Forschung und Entwicklung der betreffenden Zulassungsinhaberin, sondern derjenigen des Originalpräparats darstellt. Es soll mit anderen Worten die Honorierung eines medizinisch keinen Zusatznutzen generierenden, auf der Basis eines bereits in der SL gelisteten Präparates entwickelten Arzneimittels, d.h. ein sogenanntes Patent-Evergreening (Einführung einer neuen galenischen Form oder eines neues Salzes eines patentabgelaufenen Wirkstoffs mit dem Ziel, auch nach dem Ablauf des Wirkstoffpatentschutzes von hohen Preisen zu profitieren, ohne dass die neue Form einen therapeutischen Fortschritt darstellt), verhindert werden. Bei Nachfolgepräparaten ohne entsprechenden therapeutischen Fortschritt ist es deshalb nach Auffassung des BAG sogar zulässig, den TQV mit Generika durchzuführen, damit die durch diese möglichen Einsparungen gesichert und die Therapiekosten nicht durch neue, leicht modifizierte Originalpräparate weiterhin auf hohem Preisniveau gehalten werden (vgl. nicht publ. E. 2.2.3).</w:t>
      </w:r>
    </w:p>
    <w:p>
      <w:r>
        <w:rPr>
          <w:b/>
        </w:rPr>
        <w:t>E. 7</w:t>
      </w:r>
    </w:p>
    <w:p>
      <w:r>
        <w:t>Zu beurteilen ist in einem nächsten Schritt, ob die vorinstanzliche Feststellung, B. bringe im Vergleich zu D. keinen therapeutischen Fortschritt, gegen Bundesrecht verstösst. Hierbei sind, worauf die BGE 147 V 328 S. 338 Vorinstanz korrekt hinweist, primär medizinische und pharmazeutische Fragen zu beantworten, die besondere Fachkenntnisse und Erfahrungen erfordern, weshalb sich das Gericht bei der Überprüfung der darauf beruhenden Entscheide praxisgemäss einer gewissen Zurückhaltung bedient ( BGE 128 V 159 E. 3b/cc; BGE 118 V 57 E. 5b mit Hinweis).</w:t>
      </w:r>
    </w:p>
    <w:p>
      <w:r>
        <w:rPr>
          <w:b/>
        </w:rPr>
        <w:t>E. 7.1</w:t>
      </w:r>
    </w:p>
    <w:p>
      <w:r>
        <w:t>Der therapeutische Fortschritt definiert sich anhand des Nutzens eines Arzneimittels für die medizinische Behandlung. Der Innovationszuschlag verdeutlicht den Mehrnutzen eines Medikaments gegenüber einem anderen, bereits auf der SL aufgeführten Arzneimittel (vgl. Kommentar BAG 1. Juni 2015, S. 7 unten, 15 unten und 23 oben). Der Fortschritt respektive therapeutische Mehrwert in der medizinischen Behandlung ist auf der Basis von kontrollierten klinischen Studien zu belegen (Ziff. C.2.2 SL-Handbuch). Unter "wissenschaftlichen Studien" sind in der Regel in wissenschaftlichen Fachzeitschriften publizierte Doppelblindstudien zu verstehen (Urteil 9C_354/2017 vom 26. Januar 2018 E. 8.1 mit Hinweisen). Auch wenn an den therapeutischen Fortschritt im Sinne von Art. 65b Abs. 6 KVV - und darin ist der Beschwerdeführerin zu folgen - nicht die gleich hohen Anforderungen wie bei der Prüfung eines Innovationszuschlags im Sinne von Art. 65b Abs. 7 KVV gestellt werden dürfen (wofür ein bedeutender therapeutischer Fortschritt erforderlich ist [Hervorhebung durch das Bundesgericht]; vgl.nicht publ. E. 2.2.1), genügt es für die Annahme eines solchen nicht, dass sich ein Medikament zum Vorgängerpräparat nur unwesentlich unterscheidet (sog. Scheininnovation [siehenicht publ. E. 2.2.3]); diesgilt auch für den Fall, dass ein Arzneimittel heilmittelrechtlich als "BWS mit Innovation" eingestuft wurde (dazu oben E. 6.3.2). Vielmehr muss - grundsätzlich wie beim Innovationszuschlag nach Art. 65b Abs. 7 KVV - mittels klinischer Studien rechtsgenüglich nachgewiesen werden, dass sich aus dem veränderten patentgeschützten Element (beispielsweise Indikation, Darreichungsform, Verabreichungsweg, Dosisstärke und/oder Dosierungsempfehlung) ein Vorteil hinsichtlich Wirksamkeit, Sicherheit oder Behandlungscompliance ergibt (vgl. Art. 32 Abs. 1 KVG [Wirksamkeitsnachweis mit wissenschaftlichen Methoden] und Art. 65a KVV ). Denentsprechenden Erwägungen der Vorinstanz ist vollumfänglich beizupflichten. Ist kein solcher Zusatznutzen belegt, besteht trotz etwa der veränderten patentgeschützten Darreichungsform prinzipiell BGE 147 V 328 S. 339 keine Rechtfertigung dafür, dass im Rahmen des TQV ein Vergleich des Nachfolgepräparats mit patentgeschützten Produkten erfolgt.</w:t>
      </w:r>
    </w:p>
    <w:p>
      <w:r>
        <w:rPr>
          <w:b/>
        </w:rPr>
        <w:t>E. 7.2</w:t>
      </w:r>
    </w:p>
    <w:p>
      <w:r>
        <w:t>Die Beschwerdeführerin stützt ihre Argumentation, wonach B. einen therapeutischen Fortschritt gegenüber D. aufweise, letztinstanzlich zum einen auf eine höhere Bioverfügbarkeit und somit bessere klinische Wirksamkeit. Indem die Vorinstanzen die diesbezügliche Relevanz und Aussagekraft der von ihr zur Untermauerung eingereichten klinischen Studien verkannt hätten, sei der rechtserhebliche Sachverhalt offensichtlich unrichtig bzw. rechtsverletzend festgestellt worden.</w:t>
      </w:r>
    </w:p>
    <w:p>
      <w:r>
        <w:rPr>
          <w:b/>
        </w:rPr>
        <w:t>E. 7.2.1</w:t>
      </w:r>
    </w:p>
    <w:p>
      <w:r>
        <w:t>Gemäss der erstgenannten pharmakokinetischen Arbeit des N. UND ANDERE, einer randomisierten Crossover-Studie, konnte bei der Behandlung von 24 Knaben im Alter zwischen neun bis vierzehn Jahren mit (...) während sieben Tagen im Ergebnis eine höhere Serumkonzentration nach Einnahme von B. 20 mg als nach Einnahme von D. 20 mg beobachtet werden. Mit Vorinstanz und Beschwerdegegner kann bereits in Anbetracht der geringen Anzahl der untersuchten Patienten und des lediglich auf sieben Tage angelegten Untersuchungszeitraums nicht von einer aussagekräftigen Studie gesprochen werden, zumal es auch an der rechtsprechungsgemäss erforderlichen Publikation in einer Fachzeitschrift fehlt. Eine Studie, die sich noch nicht der Diskussion und dem Urteil der Fachwelt gestellt hat, worunter die alleinige Präsentation an einer Fachveranstaltung nicht gezählt werden kann, lässt noch keinen Rückschluss auf einen Vorteil hinsichtlich Wirksamkeit, Sicherheit oder Behandlungscompliance eines veränderten patentgeschützten Elements eines Medikaments zu. Vielmehr müssen die entsprechenden Studien von der Anlage, der Aktualität, dem Beobachtungszeitraum, der Anzahl und Auswahl der Probanden sowie der Art der Durchführung und Auswertung her wissenschaftlichen Standards genügen und entsprechend gesicherte Aussagen zur Wirksamkeit erlauben (vgl. GEBHARD EUGSTER, Krankenversicherung, in: Soziale Sicherheit, SBVR Bd. XIV, 3. Aufl. 2016, S. 624 Rz. 707). So wurde höchstrichterlich etwa die Auffassung eines Experten bestätigt, wonach Fallzahlen von je nur hundert Patienten in Untergruppen einer Doppelblindstudie zu klein seien, um statistisch genügend abgesicherte Angaben liefern zu können (Urteil K 71/93 vom 25. April 1994 E. 3c, in: SVR 1994 KV Nr. 25 S. 85). Ferner liess das Bundesgericht zur Bestätigung der Langzeitwirkung einen Zeitraum von 52 Wochen für ein Arzneimittel zur BGE 147 V 328 S. 340 Raucherentwöhnung ( BGE 137 V 295 E. 6.1.2.2) respektive in Bezug auf ein Präparat gegen Adipositas (Urteil 2A.243/2006 vom 22. Dezember 2006 E. 3.4.4) bzw. von 78 Wochen bei einem auf die Behandlung von Myozymen bei Morbus Pompe zugeschnittenen Medikament ( BGE 136 V 395 E. 6.7) genügen. Unabhängig davon könnte zudem einzig infolge einer höheren Bioverfügbarkeit bzw. einer erhöhten Serumkonzentration im Blut ohnehin noch nicht auf einen therapeutischen Mehrwert im hier geforderten Sinne geschlossen werden; vielmehr müsste sich dies, wie von der Vorinstanz dargelegt, in einem gesteigerten klinischen Nutzen manifestieren.</w:t>
      </w:r>
    </w:p>
    <w:p>
      <w:r>
        <w:rPr>
          <w:b/>
        </w:rPr>
        <w:t>E. 7.2.2</w:t>
      </w:r>
    </w:p>
    <w:p>
      <w:r>
        <w:t>Die zweite in der Beschwerde angeführte Studie von P. UND ANDERE erfüllt sodann als randomisierte, aktiv- und placebokontrollierte, während insgesamt 21 Tagen (dreimal an je sieben Tagen) durchgeführte Crossover-Doppelblindstudie mit 147 Kindern im Alter zwischen sechs und vierzehn Jahren mit (...) (C.-Responser) zwar allenfalls die Anforderungen an eine beweiskräftige wissenschaftliche Studie. Sie vermag jedoch nach den überzeugenden Erläuterungen des Bundesverwaltungsgerichts so oder anders keine klinisch relevante Überlegenheit von B. gegenüber D. aufzuzeigen. Wohl ergibt sich daraus ein signifikanter Vorteil von D. und B. im Vergleich zum verwendeten Placebo auf der Skala L., die zur (...) entwickelt wurde. Auch konnte während der gesamten Behandlungsdauer eine tendenziell bessere Wirksamkeit von B. gegenüber D. beobachtet werden, wobei die Differenzen bei den Scores L. keine statistische Relevanz erreichten und deshalb von den Studienautoren als klinisch nicht bedeutsam betrachtet wurden. Aus der Studie resultierte letztendlich die (blosse) Feststellung, dass D. B. nicht unterlegen sei. Die Schlussfolgerung von Vorinstanz und Beschwerdegegner, die besagte Studie könne nicht als ausreichender Beweis für einen therapeutischen Fortschritt im Sinne von Art. 65b Abs. 6 KVV gewertet werden, erweist sich vor diesem Hintergrund nicht als offensichtlich fehlerhaft. Es kann damit offenbleiben, ob deren Aussagekraft für die vorstehenden Belange nicht ohnehin auf Grund anderweitiger Faktoren (nur 21-tägiger Untersuchungszeitraum, Erkenntnisse nur mit Blick auf Kinder relevant, die normal frühstücken etc.) anzuzweifeln ist.</w:t>
      </w:r>
    </w:p>
    <w:p>
      <w:r>
        <w:rPr>
          <w:b/>
        </w:rPr>
        <w:t>E. 7.3</w:t>
      </w:r>
    </w:p>
    <w:p>
      <w:r>
        <w:t>Die Beschwerdeführerin sieht den entscheidwesentlichen Vorteil ferner darin, dass einzig B. die Möglichkeit einer Feintitration in 5 mg-Schritten (2,5 mg pro Freisetzungsphase) biete; damit könne BGE 147 V 328 S. 341 zum Nutzen der Patienten und Kostenträger das optimale Therapieergebnis mit einer möglichst niedrigen Wirkstoffdosierung erzielt werden. Da es jedoch an Belegen fehlt respektive solche von der Beschwerdeführerin jedenfalls nicht beigebracht werden, welche einen aus der Möglichkeit der entsprechenden Feintitration fliessenden klinisch relevanten Mehrnutzen in Bezug auf Wirksamkeit, Sicherheit oder Behandlungscompliance dokumentieren, mangelt es bereits an einem wissenschaftlich gesicherten Nachweis, der es erlauben würde, auf einen therapeutischen Fortschritt nach Massgabe von Art. 65b Abs. 6 KVV zu schliessen. Es hat folglich auch in diesem Punkt bei den Ausführungen im angefochtenen Urteil sein Bewenden.</w:t>
      </w:r>
    </w:p>
    <w:p>
      <w:r>
        <w:rPr>
          <w:b/>
        </w:rPr>
        <w:t>E. 7.4</w:t>
      </w:r>
    </w:p>
    <w:p>
      <w:r>
        <w:t>Nichts Anderes ergibt sich schliesslich mit Blick auf die patentgeschützte Technologie M., die für B. entwickelt wurde. Allein gestützt darauf lässt sich, wie hiervor erwogen (vgl. E. 6.4.3 und 7.1), noch nicht auf einen - hier vorausgesetzten - Vorteil hinsichtlich Wirksamkeit, Sicherheit oder Behandlungscompliance gegenüber dem Originalpräparat schliessen. Ein irgendwie gearteter therapeutischer Fortschritt reicht auch im Kontext von Art. 65b Abs. 6 KVV jedenfalls nicht aus, um im Rahmen des TQV einen Vergleich des Nachfolgepräparats mit patentgeschützten Produkten zu rechtfertigen (so die vorerwähnte E. 7.1).</w:t>
      </w:r>
    </w:p>
    <w:p>
      <w:r>
        <w:rPr>
          <w:b/>
        </w:rPr>
        <w:t>E. 7.5</w:t>
      </w:r>
    </w:p>
    <w:p>
      <w:r>
        <w:t>Zusammenfassend haben somit weder Vorinstanz noch Beschwerdegegner das ihnen zustehende Ermessen unsachgemäss oder willkürlich ausgeübt, indem sie infolge der fehlenden wissenschaftlichen Evidenz einen therapeutischen Fortschritt von B. im Vergleich zu dem in der SL gelisteten, patentgeschützten D. gemäss Art. 65b Abs. 6 KVV verneint haben. Die Frage, wie erheblich ein ausgewiesener therapeutischer Fortschritt sein muss, damit er im Rahmen der betreffenden Bestimmung bei der Beurteilung der Wirtschaftlichkeit eines Nachfolgepräparats Berücksichtigung finden kann, bzw. worin sich dieser qualitativ vom "bedeutenden therapeutischen Fortschritt" nach Art. 65b Abs. 7 KVV unterscheidet, braucht daher mit der Vorinstanz nicht abschliessend beantwortet zu werden. Die Voraussetzungen zur Anwendung von Art. 65b Abs. 6 Teilsatz 2 KVV sind damit erfüllt, weshalb es nicht zu beanstanden ist, dass der Beschwerdegegner darauf verzichtet hat, dem TQV von B. das patentgeschützte Präparat D. als Vergleichsprodukt zugrunde zu legen. Vielmehr wurde dem Patentschutz von B. bei der BGE 147 V 328 S. 342 Preisüberprüfung aus sachlichem Grund nicht Rechnung getragen und das Medikament mit drei nicht (mehr) patentgeschützten, langwirksamen C.-haltigen Arzneimitteln verglichen. Da gegen letztere respektive deren konkret herangezogenen Referenzgrössen bzw. -dosierungen letztinstanzlich keine Einwendungen erhoben werden und diesbezüglich auch keine Anhaltspunkte für offensichtliche Rechtsverletzungen erkennbar sind, bleibt es beim vorinstanzlichen Urteil und damit bei den vom Beschwerdegegner am (...) verfügten Preisfestsetzungen.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